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2EE6" w:rsidRDefault="003D2F54">
      <w:pPr>
        <w:rPr>
          <w:rFonts w:asciiTheme="majorHAnsi" w:hAnsiTheme="majorHAnsi" w:cstheme="majorHAnsi"/>
          <w:b/>
          <w:sz w:val="28"/>
        </w:rPr>
      </w:pPr>
      <w:r w:rsidRPr="003D2F54">
        <w:rPr>
          <w:rFonts w:asciiTheme="majorHAnsi" w:hAnsiTheme="majorHAnsi" w:cstheme="majorHAnsi"/>
          <w:b/>
          <w:sz w:val="28"/>
        </w:rPr>
        <w:t>Her zirve bir sorunun habercisidir</w:t>
      </w:r>
    </w:p>
    <w:p w:rsidR="003D2F54" w:rsidRDefault="00E847E2">
      <w:pPr>
        <w:rPr>
          <w:rFonts w:asciiTheme="majorHAnsi" w:hAnsiTheme="majorHAnsi" w:cstheme="majorHAnsi"/>
          <w:sz w:val="28"/>
        </w:rPr>
      </w:pPr>
      <w:r>
        <w:rPr>
          <w:rFonts w:asciiTheme="majorHAnsi" w:hAnsiTheme="majorHAnsi" w:cstheme="majorHAnsi"/>
          <w:sz w:val="28"/>
        </w:rPr>
        <w:t>Para ve bayrak egemenlik simgeleridir. Bu topraklarda bayrak her zaman elde dolaştırılmıştır. Ancak aynı şeyi TL için söylemek mümkün değildir.</w:t>
      </w:r>
    </w:p>
    <w:p w:rsidR="00E847E2" w:rsidRDefault="00E847E2">
      <w:pPr>
        <w:rPr>
          <w:rFonts w:asciiTheme="majorHAnsi" w:hAnsiTheme="majorHAnsi" w:cstheme="majorHAnsi"/>
          <w:sz w:val="28"/>
        </w:rPr>
      </w:pPr>
      <w:r>
        <w:rPr>
          <w:rFonts w:asciiTheme="majorHAnsi" w:hAnsiTheme="majorHAnsi" w:cstheme="majorHAnsi"/>
          <w:sz w:val="28"/>
        </w:rPr>
        <w:t xml:space="preserve">1989 sonrasında kambiyo rejiminin tamamen serbest bırakılmasıyla, en önemli ekonomik araç olan ulusal para, ekonomideki hakimiyetini dolara, Euro’ya bırakmıştır. Artık T.C. Merkez Bankası’nın dediğinden çok ABD Merkez Bankası </w:t>
      </w:r>
      <w:proofErr w:type="spellStart"/>
      <w:r>
        <w:rPr>
          <w:rFonts w:asciiTheme="majorHAnsi" w:hAnsiTheme="majorHAnsi" w:cstheme="majorHAnsi"/>
          <w:sz w:val="28"/>
        </w:rPr>
        <w:t>FED’in</w:t>
      </w:r>
      <w:proofErr w:type="spellEnd"/>
      <w:r>
        <w:rPr>
          <w:rFonts w:asciiTheme="majorHAnsi" w:hAnsiTheme="majorHAnsi" w:cstheme="majorHAnsi"/>
          <w:sz w:val="28"/>
        </w:rPr>
        <w:t xml:space="preserve"> ne dediği daha önemlidir.</w:t>
      </w:r>
    </w:p>
    <w:p w:rsidR="00E847E2" w:rsidRDefault="00E847E2">
      <w:pPr>
        <w:rPr>
          <w:rFonts w:asciiTheme="majorHAnsi" w:hAnsiTheme="majorHAnsi" w:cstheme="majorHAnsi"/>
          <w:sz w:val="28"/>
        </w:rPr>
      </w:pPr>
      <w:r>
        <w:rPr>
          <w:rFonts w:asciiTheme="majorHAnsi" w:hAnsiTheme="majorHAnsi" w:cstheme="majorHAnsi"/>
          <w:sz w:val="28"/>
        </w:rPr>
        <w:t xml:space="preserve">Ekonomideki bu durumun en güzel göstergesi, TCMB’nin her ay yayınladığı Uluslararası Net Yatırım Pozisyonu (UYP) sayılarıdır. Bildiğiniz gibi, UYP Türkiye’de yerleşiklerin döviz varlıkları ile yabancılara olan yükümlülüklerimizin toplamını gösterilmektedir. Eğer yükümlülükler varlıklardan fazla ise, Net </w:t>
      </w:r>
      <w:r w:rsidR="00F00929">
        <w:rPr>
          <w:rFonts w:asciiTheme="majorHAnsi" w:hAnsiTheme="majorHAnsi" w:cstheme="majorHAnsi"/>
          <w:sz w:val="28"/>
        </w:rPr>
        <w:t xml:space="preserve">Döviz </w:t>
      </w:r>
      <w:r>
        <w:rPr>
          <w:rFonts w:asciiTheme="majorHAnsi" w:hAnsiTheme="majorHAnsi" w:cstheme="majorHAnsi"/>
          <w:sz w:val="28"/>
        </w:rPr>
        <w:t>Açı</w:t>
      </w:r>
      <w:r w:rsidR="00F00929">
        <w:rPr>
          <w:rFonts w:asciiTheme="majorHAnsi" w:hAnsiTheme="majorHAnsi" w:cstheme="majorHAnsi"/>
          <w:sz w:val="28"/>
        </w:rPr>
        <w:t>ğı</w:t>
      </w:r>
      <w:r>
        <w:rPr>
          <w:rFonts w:asciiTheme="majorHAnsi" w:hAnsiTheme="majorHAnsi" w:cstheme="majorHAnsi"/>
          <w:sz w:val="28"/>
        </w:rPr>
        <w:t xml:space="preserve"> var demektir. Türkiye’nin 2019 yılsonu itibariyle net döviz açığı 349 milyar $’</w:t>
      </w:r>
      <w:proofErr w:type="spellStart"/>
      <w:r>
        <w:rPr>
          <w:rFonts w:asciiTheme="majorHAnsi" w:hAnsiTheme="majorHAnsi" w:cstheme="majorHAnsi"/>
          <w:sz w:val="28"/>
        </w:rPr>
        <w:t>dır</w:t>
      </w:r>
      <w:proofErr w:type="spellEnd"/>
      <w:r>
        <w:rPr>
          <w:rFonts w:asciiTheme="majorHAnsi" w:hAnsiTheme="majorHAnsi" w:cstheme="majorHAnsi"/>
          <w:sz w:val="28"/>
        </w:rPr>
        <w:t xml:space="preserve">. </w:t>
      </w:r>
      <w:r w:rsidR="0063739A">
        <w:rPr>
          <w:rFonts w:asciiTheme="majorHAnsi" w:hAnsiTheme="majorHAnsi" w:cstheme="majorHAnsi"/>
          <w:sz w:val="28"/>
        </w:rPr>
        <w:t>754 milyar $’</w:t>
      </w:r>
      <w:proofErr w:type="spellStart"/>
      <w:r w:rsidR="0063739A">
        <w:rPr>
          <w:rFonts w:asciiTheme="majorHAnsi" w:hAnsiTheme="majorHAnsi" w:cstheme="majorHAnsi"/>
          <w:sz w:val="28"/>
        </w:rPr>
        <w:t>lık</w:t>
      </w:r>
      <w:proofErr w:type="spellEnd"/>
      <w:r w:rsidR="0063739A">
        <w:rPr>
          <w:rFonts w:asciiTheme="majorHAnsi" w:hAnsiTheme="majorHAnsi" w:cstheme="majorHAnsi"/>
          <w:sz w:val="28"/>
        </w:rPr>
        <w:t xml:space="preserve"> milli gelir</w:t>
      </w:r>
      <w:r w:rsidR="00242EEE">
        <w:rPr>
          <w:rFonts w:asciiTheme="majorHAnsi" w:hAnsiTheme="majorHAnsi" w:cstheme="majorHAnsi"/>
          <w:sz w:val="28"/>
        </w:rPr>
        <w:t>imiz olduğuna göre, yarısına yakın (%46) döviz açığı verdiğimizi söyleyebiliriz. Diğer bir deyimle, döviz yükümlülüklerimiz ile varlıklarımız arasındaki fark milli gelirimizin yarısı kadar</w:t>
      </w:r>
      <w:r w:rsidR="00F00929">
        <w:rPr>
          <w:rFonts w:asciiTheme="majorHAnsi" w:hAnsiTheme="majorHAnsi" w:cstheme="majorHAnsi"/>
          <w:sz w:val="28"/>
        </w:rPr>
        <w:t>dır</w:t>
      </w:r>
      <w:r w:rsidR="00242EEE">
        <w:rPr>
          <w:rFonts w:asciiTheme="majorHAnsi" w:hAnsiTheme="majorHAnsi" w:cstheme="majorHAnsi"/>
          <w:sz w:val="28"/>
        </w:rPr>
        <w:t>.</w:t>
      </w:r>
    </w:p>
    <w:p w:rsidR="00242EEE" w:rsidRDefault="00242EEE">
      <w:pPr>
        <w:rPr>
          <w:rFonts w:asciiTheme="majorHAnsi" w:hAnsiTheme="majorHAnsi" w:cstheme="majorHAnsi"/>
          <w:sz w:val="28"/>
        </w:rPr>
      </w:pPr>
      <w:r>
        <w:rPr>
          <w:rFonts w:asciiTheme="majorHAnsi" w:hAnsiTheme="majorHAnsi" w:cstheme="majorHAnsi"/>
          <w:sz w:val="28"/>
        </w:rPr>
        <w:t xml:space="preserve">Belki aklınıza </w:t>
      </w:r>
      <w:r w:rsidRPr="00242EEE">
        <w:rPr>
          <w:rFonts w:asciiTheme="majorHAnsi" w:hAnsiTheme="majorHAnsi" w:cstheme="majorHAnsi"/>
          <w:i/>
          <w:sz w:val="28"/>
        </w:rPr>
        <w:t>ama dış borç verisi bundan farklı</w:t>
      </w:r>
      <w:r>
        <w:rPr>
          <w:rFonts w:asciiTheme="majorHAnsi" w:hAnsiTheme="majorHAnsi" w:cstheme="majorHAnsi"/>
          <w:sz w:val="28"/>
        </w:rPr>
        <w:t xml:space="preserve"> değil mi diye bir soru gelebilir. Stok borç verileri ile döviz yükümlülükleri farklı veriler</w:t>
      </w:r>
      <w:r w:rsidR="00F00929">
        <w:rPr>
          <w:rFonts w:asciiTheme="majorHAnsi" w:hAnsiTheme="majorHAnsi" w:cstheme="majorHAnsi"/>
          <w:sz w:val="28"/>
        </w:rPr>
        <w:t>dir</w:t>
      </w:r>
      <w:r>
        <w:rPr>
          <w:rFonts w:asciiTheme="majorHAnsi" w:hAnsiTheme="majorHAnsi" w:cstheme="majorHAnsi"/>
          <w:sz w:val="28"/>
        </w:rPr>
        <w:t>. Burada s</w:t>
      </w:r>
      <w:r>
        <w:rPr>
          <w:rFonts w:asciiTheme="majorHAnsi" w:hAnsiTheme="majorHAnsi" w:cstheme="majorHAnsi"/>
          <w:sz w:val="28"/>
        </w:rPr>
        <w:t>adece borçlar değil</w:t>
      </w:r>
      <w:r>
        <w:rPr>
          <w:rFonts w:asciiTheme="majorHAnsi" w:hAnsiTheme="majorHAnsi" w:cstheme="majorHAnsi"/>
          <w:sz w:val="28"/>
        </w:rPr>
        <w:t>,</w:t>
      </w:r>
      <w:r>
        <w:rPr>
          <w:rFonts w:asciiTheme="majorHAnsi" w:hAnsiTheme="majorHAnsi" w:cstheme="majorHAnsi"/>
          <w:sz w:val="28"/>
        </w:rPr>
        <w:t xml:space="preserve"> </w:t>
      </w:r>
      <w:r>
        <w:rPr>
          <w:rFonts w:asciiTheme="majorHAnsi" w:hAnsiTheme="majorHAnsi" w:cstheme="majorHAnsi"/>
          <w:sz w:val="28"/>
        </w:rPr>
        <w:t>yabancıların elinde tuttukları mevduat, hisse senedi gibi varlıklar da hesaba katılır. Dolayısıyla yükümlülüklerimizin toplamı 600 milyar $ kadar</w:t>
      </w:r>
      <w:r w:rsidR="00F00929">
        <w:rPr>
          <w:rFonts w:asciiTheme="majorHAnsi" w:hAnsiTheme="majorHAnsi" w:cstheme="majorHAnsi"/>
          <w:sz w:val="28"/>
        </w:rPr>
        <w:t>dır</w:t>
      </w:r>
      <w:r>
        <w:rPr>
          <w:rFonts w:asciiTheme="majorHAnsi" w:hAnsiTheme="majorHAnsi" w:cstheme="majorHAnsi"/>
          <w:sz w:val="28"/>
        </w:rPr>
        <w:t>. Dış borçlar ise 445 milyar $.</w:t>
      </w:r>
    </w:p>
    <w:p w:rsidR="00242EEE" w:rsidRDefault="00242EEE">
      <w:pPr>
        <w:rPr>
          <w:rFonts w:asciiTheme="majorHAnsi" w:hAnsiTheme="majorHAnsi" w:cstheme="majorHAnsi"/>
          <w:sz w:val="28"/>
        </w:rPr>
      </w:pPr>
      <w:r>
        <w:rPr>
          <w:rFonts w:asciiTheme="majorHAnsi" w:hAnsiTheme="majorHAnsi" w:cstheme="majorHAnsi"/>
          <w:sz w:val="28"/>
        </w:rPr>
        <w:t xml:space="preserve">Öte yandan, döviz yükümlülüklerini sınıflandırırken en kısa vadeli olanları ayırarak yorum yapmakta, karar almakta büyük fayda var. Ben buna </w:t>
      </w:r>
      <w:r w:rsidRPr="00F00929">
        <w:rPr>
          <w:rFonts w:asciiTheme="majorHAnsi" w:hAnsiTheme="majorHAnsi" w:cstheme="majorHAnsi"/>
          <w:b/>
          <w:sz w:val="28"/>
        </w:rPr>
        <w:t xml:space="preserve">“dar tanımlı sıcak para” </w:t>
      </w:r>
      <w:r>
        <w:rPr>
          <w:rFonts w:asciiTheme="majorHAnsi" w:hAnsiTheme="majorHAnsi" w:cstheme="majorHAnsi"/>
          <w:sz w:val="28"/>
        </w:rPr>
        <w:t xml:space="preserve">diyorum. Bıyıklı, bıyıksız yabancıların Türkiye’de açtıkları mevduat hesapları ile hisse senedi ve tahvil yatırımlarının toplamından oluşuyor. Herhangi bir oynaklık halinde </w:t>
      </w:r>
      <w:r w:rsidR="00F00929">
        <w:rPr>
          <w:rFonts w:asciiTheme="majorHAnsi" w:hAnsiTheme="majorHAnsi" w:cstheme="majorHAnsi"/>
          <w:sz w:val="28"/>
        </w:rPr>
        <w:t xml:space="preserve">Türkiye’yi </w:t>
      </w:r>
      <w:r>
        <w:rPr>
          <w:rFonts w:asciiTheme="majorHAnsi" w:hAnsiTheme="majorHAnsi" w:cstheme="majorHAnsi"/>
          <w:sz w:val="28"/>
        </w:rPr>
        <w:t xml:space="preserve">ilk önce </w:t>
      </w:r>
      <w:r w:rsidR="00F00929">
        <w:rPr>
          <w:rFonts w:asciiTheme="majorHAnsi" w:hAnsiTheme="majorHAnsi" w:cstheme="majorHAnsi"/>
          <w:sz w:val="28"/>
        </w:rPr>
        <w:t>terk eden</w:t>
      </w:r>
      <w:r>
        <w:rPr>
          <w:rFonts w:asciiTheme="majorHAnsi" w:hAnsiTheme="majorHAnsi" w:cstheme="majorHAnsi"/>
          <w:sz w:val="28"/>
        </w:rPr>
        <w:t xml:space="preserve"> para budur. Onun için “sıcak para” deniyor.</w:t>
      </w:r>
    </w:p>
    <w:p w:rsidR="00242EEE" w:rsidRDefault="00242EEE">
      <w:pPr>
        <w:rPr>
          <w:rFonts w:asciiTheme="majorHAnsi" w:hAnsiTheme="majorHAnsi" w:cstheme="majorHAnsi"/>
          <w:sz w:val="28"/>
        </w:rPr>
      </w:pPr>
      <w:r>
        <w:rPr>
          <w:rFonts w:asciiTheme="majorHAnsi" w:hAnsiTheme="majorHAnsi" w:cstheme="majorHAnsi"/>
          <w:sz w:val="28"/>
        </w:rPr>
        <w:t xml:space="preserve">2018 yılındaki Rahip </w:t>
      </w:r>
      <w:proofErr w:type="spellStart"/>
      <w:r>
        <w:rPr>
          <w:rFonts w:asciiTheme="majorHAnsi" w:hAnsiTheme="majorHAnsi" w:cstheme="majorHAnsi"/>
          <w:sz w:val="28"/>
        </w:rPr>
        <w:t>Bronson</w:t>
      </w:r>
      <w:proofErr w:type="spellEnd"/>
      <w:r>
        <w:rPr>
          <w:rFonts w:asciiTheme="majorHAnsi" w:hAnsiTheme="majorHAnsi" w:cstheme="majorHAnsi"/>
          <w:sz w:val="28"/>
        </w:rPr>
        <w:t xml:space="preserve"> Krizini hatırlayın. </w:t>
      </w:r>
      <w:r w:rsidR="00D3221F">
        <w:rPr>
          <w:rFonts w:asciiTheme="majorHAnsi" w:hAnsiTheme="majorHAnsi" w:cstheme="majorHAnsi"/>
          <w:sz w:val="28"/>
        </w:rPr>
        <w:t xml:space="preserve">ABD’deki “yalama saçlı” </w:t>
      </w:r>
      <w:r w:rsidR="00D3221F" w:rsidRPr="00D3221F">
        <w:rPr>
          <w:rFonts w:asciiTheme="majorHAnsi" w:hAnsiTheme="majorHAnsi" w:cstheme="majorHAnsi"/>
          <w:i/>
          <w:sz w:val="28"/>
        </w:rPr>
        <w:t>papazımı isterim</w:t>
      </w:r>
      <w:r w:rsidR="00D3221F">
        <w:rPr>
          <w:rFonts w:asciiTheme="majorHAnsi" w:hAnsiTheme="majorHAnsi" w:cstheme="majorHAnsi"/>
          <w:sz w:val="28"/>
        </w:rPr>
        <w:t xml:space="preserve"> diye tutturunca, doların 7 TL. ’ye yaklaşmasının nedeni bu sıcak paracıların ani hareketleriydi. </w:t>
      </w:r>
    </w:p>
    <w:p w:rsidR="00D3221F" w:rsidRDefault="00D3221F">
      <w:pPr>
        <w:rPr>
          <w:rFonts w:asciiTheme="majorHAnsi" w:hAnsiTheme="majorHAnsi" w:cstheme="majorHAnsi"/>
          <w:sz w:val="28"/>
        </w:rPr>
      </w:pPr>
      <w:r>
        <w:rPr>
          <w:rFonts w:asciiTheme="majorHAnsi" w:hAnsiTheme="majorHAnsi" w:cstheme="majorHAnsi"/>
          <w:sz w:val="28"/>
        </w:rPr>
        <w:t xml:space="preserve">Bu bağlamda, </w:t>
      </w:r>
      <w:r w:rsidRPr="00F00929">
        <w:rPr>
          <w:rFonts w:asciiTheme="majorHAnsi" w:hAnsiTheme="majorHAnsi" w:cstheme="majorHAnsi"/>
          <w:b/>
          <w:sz w:val="28"/>
        </w:rPr>
        <w:t xml:space="preserve">bir ekonomide sıcak para ne kadar çok ise, oynaklık </w:t>
      </w:r>
      <w:r w:rsidR="00F00929" w:rsidRPr="00F00929">
        <w:rPr>
          <w:rFonts w:asciiTheme="majorHAnsi" w:hAnsiTheme="majorHAnsi" w:cstheme="majorHAnsi"/>
          <w:b/>
          <w:sz w:val="28"/>
        </w:rPr>
        <w:t xml:space="preserve">o kadar </w:t>
      </w:r>
      <w:r w:rsidRPr="00F00929">
        <w:rPr>
          <w:rFonts w:asciiTheme="majorHAnsi" w:hAnsiTheme="majorHAnsi" w:cstheme="majorHAnsi"/>
          <w:b/>
          <w:sz w:val="28"/>
        </w:rPr>
        <w:t>fazla ve güven o kadar kırılgandır</w:t>
      </w:r>
      <w:r>
        <w:rPr>
          <w:rFonts w:asciiTheme="majorHAnsi" w:hAnsiTheme="majorHAnsi" w:cstheme="majorHAnsi"/>
          <w:sz w:val="28"/>
        </w:rPr>
        <w:t>.</w:t>
      </w:r>
    </w:p>
    <w:p w:rsidR="00D3221F" w:rsidRDefault="00D3221F">
      <w:pPr>
        <w:rPr>
          <w:rFonts w:asciiTheme="majorHAnsi" w:hAnsiTheme="majorHAnsi" w:cstheme="majorHAnsi"/>
          <w:sz w:val="28"/>
        </w:rPr>
      </w:pPr>
      <w:r>
        <w:rPr>
          <w:rFonts w:asciiTheme="majorHAnsi" w:hAnsiTheme="majorHAnsi" w:cstheme="majorHAnsi"/>
          <w:sz w:val="28"/>
        </w:rPr>
        <w:lastRenderedPageBreak/>
        <w:t>Sıcak paranın nominal büyüklüğü önemlidir. Geçen yılsonunda</w:t>
      </w:r>
      <w:r w:rsidR="00F00929">
        <w:rPr>
          <w:rFonts w:asciiTheme="majorHAnsi" w:hAnsiTheme="majorHAnsi" w:cstheme="majorHAnsi"/>
          <w:sz w:val="28"/>
        </w:rPr>
        <w:t>,</w:t>
      </w:r>
      <w:r>
        <w:rPr>
          <w:rFonts w:asciiTheme="majorHAnsi" w:hAnsiTheme="majorHAnsi" w:cstheme="majorHAnsi"/>
          <w:sz w:val="28"/>
        </w:rPr>
        <w:t xml:space="preserve"> dar tanımlı sıcak para toplamı 213 milyar $’ı geçmişti. Tarihi rekor 234 milyar $ ile 2018 yılındaydı.</w:t>
      </w:r>
    </w:p>
    <w:p w:rsidR="005B5A39" w:rsidRDefault="00D3221F">
      <w:pPr>
        <w:rPr>
          <w:rFonts w:asciiTheme="majorHAnsi" w:hAnsiTheme="majorHAnsi" w:cstheme="majorHAnsi"/>
          <w:sz w:val="28"/>
        </w:rPr>
      </w:pPr>
      <w:r>
        <w:rPr>
          <w:rFonts w:asciiTheme="majorHAnsi" w:hAnsiTheme="majorHAnsi" w:cstheme="majorHAnsi"/>
          <w:sz w:val="28"/>
        </w:rPr>
        <w:t>Bu durum aşağıdaki grafikte çok net görülüyor. Grafik, 1996-2019 arası dönem için, nominal büyüklük yerine, sıcak paranın milli gelire oranını gösteriyor.</w:t>
      </w:r>
    </w:p>
    <w:p w:rsidR="005B5A39" w:rsidRDefault="005B5A39">
      <w:pPr>
        <w:rPr>
          <w:rFonts w:asciiTheme="majorHAnsi" w:hAnsiTheme="majorHAnsi" w:cstheme="majorHAnsi"/>
          <w:sz w:val="28"/>
        </w:rPr>
      </w:pPr>
      <w:r>
        <w:rPr>
          <w:noProof/>
        </w:rPr>
        <w:drawing>
          <wp:inline distT="0" distB="0" distL="0" distR="0" wp14:anchorId="47579D9C" wp14:editId="0F1E5F62">
            <wp:extent cx="5295900" cy="269684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95900" cy="2696845"/>
                    </a:xfrm>
                    <a:prstGeom prst="rect">
                      <a:avLst/>
                    </a:prstGeom>
                  </pic:spPr>
                </pic:pic>
              </a:graphicData>
            </a:graphic>
          </wp:inline>
        </w:drawing>
      </w:r>
    </w:p>
    <w:p w:rsidR="00D3221F" w:rsidRDefault="00D3221F">
      <w:pPr>
        <w:rPr>
          <w:rFonts w:asciiTheme="majorHAnsi" w:hAnsiTheme="majorHAnsi" w:cstheme="majorHAnsi"/>
          <w:sz w:val="28"/>
        </w:rPr>
      </w:pPr>
      <w:r>
        <w:rPr>
          <w:rFonts w:asciiTheme="majorHAnsi" w:hAnsiTheme="majorHAnsi" w:cstheme="majorHAnsi"/>
          <w:sz w:val="28"/>
        </w:rPr>
        <w:t>Görüldüğü üzere, oran</w:t>
      </w:r>
      <w:r w:rsidR="00F00929">
        <w:rPr>
          <w:rFonts w:asciiTheme="majorHAnsi" w:hAnsiTheme="majorHAnsi" w:cstheme="majorHAnsi"/>
          <w:sz w:val="28"/>
        </w:rPr>
        <w:t>,</w:t>
      </w:r>
      <w:r>
        <w:rPr>
          <w:rFonts w:asciiTheme="majorHAnsi" w:hAnsiTheme="majorHAnsi" w:cstheme="majorHAnsi"/>
          <w:sz w:val="28"/>
        </w:rPr>
        <w:t xml:space="preserve"> dört yıl zirve yapmış. İlki 1999, yani 2001 Krizinden önce. Ardından yaşananları hatırlıyoruz. Sonraki zirve</w:t>
      </w:r>
      <w:r w:rsidR="00BD716A">
        <w:rPr>
          <w:rFonts w:asciiTheme="majorHAnsi" w:hAnsiTheme="majorHAnsi" w:cstheme="majorHAnsi"/>
          <w:sz w:val="28"/>
        </w:rPr>
        <w:t xml:space="preserve"> 2007 yılında, yani 2009 Krizinden hemen önce. Üçüncü zirve 2013’te. O yıl yaşananları karıştırmamak lazım. Gezi olaylarının </w:t>
      </w:r>
      <w:r w:rsidR="00F00929">
        <w:rPr>
          <w:rFonts w:asciiTheme="majorHAnsi" w:hAnsiTheme="majorHAnsi" w:cstheme="majorHAnsi"/>
          <w:sz w:val="28"/>
        </w:rPr>
        <w:t xml:space="preserve">hiç </w:t>
      </w:r>
      <w:r w:rsidR="00BD716A">
        <w:rPr>
          <w:rFonts w:asciiTheme="majorHAnsi" w:hAnsiTheme="majorHAnsi" w:cstheme="majorHAnsi"/>
          <w:sz w:val="28"/>
        </w:rPr>
        <w:t>etkisi yoktur demek yanlış. Ama asıl etkisi olan olay</w:t>
      </w:r>
      <w:r w:rsidR="00F00929">
        <w:rPr>
          <w:rFonts w:asciiTheme="majorHAnsi" w:hAnsiTheme="majorHAnsi" w:cstheme="majorHAnsi"/>
          <w:sz w:val="28"/>
        </w:rPr>
        <w:t>,</w:t>
      </w:r>
      <w:r w:rsidR="00BD716A">
        <w:rPr>
          <w:rFonts w:asciiTheme="majorHAnsi" w:hAnsiTheme="majorHAnsi" w:cstheme="majorHAnsi"/>
          <w:sz w:val="28"/>
        </w:rPr>
        <w:t xml:space="preserve"> zamanın FED Başkanı </w:t>
      </w:r>
      <w:proofErr w:type="spellStart"/>
      <w:r w:rsidR="00BD716A">
        <w:rPr>
          <w:rFonts w:asciiTheme="majorHAnsi" w:hAnsiTheme="majorHAnsi" w:cstheme="majorHAnsi"/>
          <w:sz w:val="28"/>
        </w:rPr>
        <w:t>Bernanke’nin</w:t>
      </w:r>
      <w:proofErr w:type="spellEnd"/>
      <w:r w:rsidR="00BD716A">
        <w:rPr>
          <w:rFonts w:asciiTheme="majorHAnsi" w:hAnsiTheme="majorHAnsi" w:cstheme="majorHAnsi"/>
          <w:sz w:val="28"/>
        </w:rPr>
        <w:t xml:space="preserve">, Gezi olaylarından önce </w:t>
      </w:r>
      <w:r w:rsidR="00BD716A" w:rsidRPr="00BD716A">
        <w:rPr>
          <w:rFonts w:asciiTheme="majorHAnsi" w:hAnsiTheme="majorHAnsi" w:cstheme="majorHAnsi"/>
          <w:i/>
          <w:sz w:val="28"/>
        </w:rPr>
        <w:t>faizleri yükseltmeye başlayacağız</w:t>
      </w:r>
      <w:r w:rsidR="00BD716A">
        <w:rPr>
          <w:rFonts w:asciiTheme="majorHAnsi" w:hAnsiTheme="majorHAnsi" w:cstheme="majorHAnsi"/>
          <w:sz w:val="28"/>
        </w:rPr>
        <w:t xml:space="preserve"> demesi ve dünya tahvil piyasalarının allak bullak olmasıdır.</w:t>
      </w:r>
    </w:p>
    <w:p w:rsidR="00BD716A" w:rsidRDefault="00BD716A">
      <w:pPr>
        <w:rPr>
          <w:rFonts w:asciiTheme="majorHAnsi" w:hAnsiTheme="majorHAnsi" w:cstheme="majorHAnsi"/>
          <w:sz w:val="28"/>
        </w:rPr>
      </w:pPr>
      <w:r>
        <w:rPr>
          <w:rFonts w:asciiTheme="majorHAnsi" w:hAnsiTheme="majorHAnsi" w:cstheme="majorHAnsi"/>
          <w:sz w:val="28"/>
        </w:rPr>
        <w:t xml:space="preserve">Ardından dördüncü zirve 2018 yılında yaşanmış. Sıcak paranın milli gelire oranı %30 olmuş. O yıl ekonomide yaşananları </w:t>
      </w:r>
      <w:r w:rsidRPr="00BD716A">
        <w:rPr>
          <w:rFonts w:asciiTheme="majorHAnsi" w:hAnsiTheme="majorHAnsi" w:cstheme="majorHAnsi"/>
          <w:i/>
          <w:sz w:val="28"/>
        </w:rPr>
        <w:t>dışarıdan saldırı</w:t>
      </w:r>
      <w:r>
        <w:rPr>
          <w:rFonts w:asciiTheme="majorHAnsi" w:hAnsiTheme="majorHAnsi" w:cstheme="majorHAnsi"/>
          <w:i/>
          <w:sz w:val="28"/>
        </w:rPr>
        <w:t xml:space="preserve"> </w:t>
      </w:r>
      <w:r>
        <w:rPr>
          <w:rFonts w:asciiTheme="majorHAnsi" w:hAnsiTheme="majorHAnsi" w:cstheme="majorHAnsi"/>
          <w:sz w:val="28"/>
        </w:rPr>
        <w:t xml:space="preserve">olarak açıklamadan önce, sıcak paranın nasıl bu zirveye ulaştığına bakmak gerekir. Çünkü eğer hastalığı tedavi etmek gibi bir niyet olsa, önce tanının doğru konması gerektiğini hepimiz biliyoruz. Siz bataklığı kurutmak yerine sulayacaksınız, tüm sivrisinek türlerini Afrika’dan getirip palazlanmasına yardımcı olacaksınız, sonra dönüp </w:t>
      </w:r>
      <w:r w:rsidRPr="00BD716A">
        <w:rPr>
          <w:rFonts w:asciiTheme="majorHAnsi" w:hAnsiTheme="majorHAnsi" w:cstheme="majorHAnsi"/>
          <w:i/>
          <w:sz w:val="28"/>
        </w:rPr>
        <w:t>burada sinek var, bize saldırıyor</w:t>
      </w:r>
      <w:r>
        <w:rPr>
          <w:rFonts w:asciiTheme="majorHAnsi" w:hAnsiTheme="majorHAnsi" w:cstheme="majorHAnsi"/>
          <w:sz w:val="28"/>
        </w:rPr>
        <w:t xml:space="preserve"> diyeceksiniz. İnsanda biraz izan olur. Algı yaratmak yerine olguya bakmak lazım.</w:t>
      </w:r>
      <w:r w:rsidR="00F00929">
        <w:rPr>
          <w:rFonts w:asciiTheme="majorHAnsi" w:hAnsiTheme="majorHAnsi" w:cstheme="majorHAnsi"/>
          <w:sz w:val="28"/>
        </w:rPr>
        <w:t xml:space="preserve"> </w:t>
      </w:r>
      <w:r w:rsidR="003D4ACD">
        <w:rPr>
          <w:rFonts w:asciiTheme="majorHAnsi" w:hAnsiTheme="majorHAnsi" w:cstheme="majorHAnsi"/>
          <w:sz w:val="28"/>
        </w:rPr>
        <w:t>O</w:t>
      </w:r>
      <w:r w:rsidR="00F00929">
        <w:rPr>
          <w:rFonts w:asciiTheme="majorHAnsi" w:hAnsiTheme="majorHAnsi" w:cstheme="majorHAnsi"/>
          <w:sz w:val="28"/>
        </w:rPr>
        <w:t xml:space="preserve">lgu belli, </w:t>
      </w:r>
      <w:r w:rsidR="00F00929" w:rsidRPr="003D4ACD">
        <w:rPr>
          <w:rFonts w:asciiTheme="majorHAnsi" w:hAnsiTheme="majorHAnsi" w:cstheme="majorHAnsi"/>
          <w:b/>
          <w:sz w:val="28"/>
        </w:rPr>
        <w:t xml:space="preserve">ekonomi 2019 yılında </w:t>
      </w:r>
      <w:r w:rsidR="003D4ACD" w:rsidRPr="003D4ACD">
        <w:rPr>
          <w:rFonts w:asciiTheme="majorHAnsi" w:hAnsiTheme="majorHAnsi" w:cstheme="majorHAnsi"/>
          <w:b/>
          <w:sz w:val="28"/>
        </w:rPr>
        <w:t>sıfırdan biraz fazla büyüdü. İşsizlik rekorlar kırıyor.</w:t>
      </w:r>
    </w:p>
    <w:p w:rsidR="00BD716A" w:rsidRPr="00BD716A" w:rsidRDefault="001820AC">
      <w:pPr>
        <w:rPr>
          <w:rFonts w:asciiTheme="majorHAnsi" w:hAnsiTheme="majorHAnsi" w:cstheme="majorHAnsi"/>
          <w:sz w:val="28"/>
        </w:rPr>
      </w:pPr>
      <w:r>
        <w:rPr>
          <w:rFonts w:asciiTheme="majorHAnsi" w:hAnsiTheme="majorHAnsi" w:cstheme="majorHAnsi"/>
          <w:sz w:val="28"/>
        </w:rPr>
        <w:t xml:space="preserve">Bugün gelinen aşamada </w:t>
      </w:r>
      <w:r w:rsidRPr="003D4ACD">
        <w:rPr>
          <w:rFonts w:asciiTheme="majorHAnsi" w:hAnsiTheme="majorHAnsi" w:cstheme="majorHAnsi"/>
          <w:b/>
          <w:sz w:val="28"/>
        </w:rPr>
        <w:t>artık her jeopolitik oynaklık, risk algısı sıcak paracılara fırsat vermektedir. Sadece onlara olsa</w:t>
      </w:r>
      <w:r w:rsidR="003D4ACD" w:rsidRPr="003D4ACD">
        <w:rPr>
          <w:rFonts w:asciiTheme="majorHAnsi" w:hAnsiTheme="majorHAnsi" w:cstheme="majorHAnsi"/>
          <w:b/>
          <w:sz w:val="28"/>
        </w:rPr>
        <w:t>,</w:t>
      </w:r>
      <w:r w:rsidRPr="003D4ACD">
        <w:rPr>
          <w:rFonts w:asciiTheme="majorHAnsi" w:hAnsiTheme="majorHAnsi" w:cstheme="majorHAnsi"/>
          <w:b/>
          <w:sz w:val="28"/>
        </w:rPr>
        <w:t xml:space="preserve"> dert bir yere kadar </w:t>
      </w:r>
      <w:r w:rsidRPr="003D4ACD">
        <w:rPr>
          <w:rFonts w:asciiTheme="majorHAnsi" w:hAnsiTheme="majorHAnsi" w:cstheme="majorHAnsi"/>
          <w:b/>
          <w:sz w:val="28"/>
        </w:rPr>
        <w:lastRenderedPageBreak/>
        <w:t>çekilebilir. Ne yazık ki daha fazla fırsatı Türkiye hakkında planları olan emperyalistlere de vermektedir</w:t>
      </w:r>
      <w:r>
        <w:rPr>
          <w:rFonts w:asciiTheme="majorHAnsi" w:hAnsiTheme="majorHAnsi" w:cstheme="majorHAnsi"/>
          <w:sz w:val="28"/>
        </w:rPr>
        <w:t xml:space="preserve">. Onlar diğer veriler yanında, sıcak paranın yüksekliğini de dikkate alarak politika oluşturmaktadırlar. Onu da tehdit unsuru olarak kullanmaktadırlar. </w:t>
      </w:r>
      <w:bookmarkStart w:id="0" w:name="_GoBack"/>
      <w:bookmarkEnd w:id="0"/>
    </w:p>
    <w:p w:rsidR="005B5A39" w:rsidRPr="005B5A39" w:rsidRDefault="005B5A39" w:rsidP="005B5A39">
      <w:pPr>
        <w:spacing w:after="240"/>
        <w:rPr>
          <w:rFonts w:asciiTheme="majorHAnsi" w:hAnsiTheme="majorHAnsi" w:cstheme="majorHAnsi"/>
          <w:sz w:val="28"/>
        </w:rPr>
      </w:pPr>
    </w:p>
    <w:sectPr w:rsidR="005B5A39" w:rsidRPr="005B5A39" w:rsidSect="00A36236">
      <w:headerReference w:type="even" r:id="rId7"/>
      <w:headerReference w:type="default" r:id="rId8"/>
      <w:footerReference w:type="even" r:id="rId9"/>
      <w:footerReference w:type="default" r:id="rId10"/>
      <w:headerReference w:type="first" r:id="rId11"/>
      <w:footerReference w:type="firs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577D" w:rsidRDefault="0029577D" w:rsidP="00991868">
      <w:pPr>
        <w:spacing w:after="0" w:line="240" w:lineRule="auto"/>
      </w:pPr>
      <w:r>
        <w:separator/>
      </w:r>
    </w:p>
  </w:endnote>
  <w:endnote w:type="continuationSeparator" w:id="0">
    <w:p w:rsidR="0029577D" w:rsidRDefault="0029577D" w:rsidP="00991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868" w:rsidRDefault="0099186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868" w:rsidRDefault="0099186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868" w:rsidRDefault="0099186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577D" w:rsidRDefault="0029577D" w:rsidP="00991868">
      <w:pPr>
        <w:spacing w:after="0" w:line="240" w:lineRule="auto"/>
      </w:pPr>
      <w:r>
        <w:separator/>
      </w:r>
    </w:p>
  </w:footnote>
  <w:footnote w:type="continuationSeparator" w:id="0">
    <w:p w:rsidR="0029577D" w:rsidRDefault="0029577D" w:rsidP="009918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868" w:rsidRDefault="0029577D">
    <w:pPr>
      <w:pStyle w:val="stBilgi"/>
    </w:pPr>
    <w:r>
      <w:rPr>
        <w:noProof/>
      </w:rPr>
      <w:pict w14:anchorId="35BD5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670900" o:spid="_x0000_s2051" type="#_x0000_t136" alt="" style="position:absolute;margin-left:0;margin-top:0;width:589.9pt;height:49.15pt;rotation:315;z-index:-251651072;mso-wrap-edited:f;mso-width-percent:0;mso-height-percent:0;mso-position-horizontal:center;mso-position-horizontal-relative:margin;mso-position-vertical:center;mso-position-vertical-relative:margin;mso-width-percent:0;mso-height-percent:0" o:allowincell="f" fillcolor="red" stroked="f">
          <v:textpath style="font-family:&quot;Arial&quot;;font-size:1pt" string="KİMSEYLE PAYLAŞMAY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868" w:rsidRDefault="0029577D">
    <w:pPr>
      <w:pStyle w:val="stBilgi"/>
    </w:pPr>
    <w:r>
      <w:rPr>
        <w:noProof/>
      </w:rPr>
      <w:pict w14:anchorId="14E2B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670901" o:spid="_x0000_s2050" type="#_x0000_t136" alt="" style="position:absolute;margin-left:0;margin-top:0;width:589.9pt;height:49.15pt;rotation:315;z-index:-251646976;mso-wrap-edited:f;mso-width-percent:0;mso-height-percent:0;mso-position-horizontal:center;mso-position-horizontal-relative:margin;mso-position-vertical:center;mso-position-vertical-relative:margin;mso-width-percent:0;mso-height-percent:0" o:allowincell="f" fillcolor="red" stroked="f">
          <v:textpath style="font-family:&quot;Arial&quot;;font-size:1pt" string="KİMSEYLE PAYLAŞMAY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868" w:rsidRDefault="0029577D">
    <w:pPr>
      <w:pStyle w:val="stBilgi"/>
    </w:pPr>
    <w:r>
      <w:rPr>
        <w:noProof/>
      </w:rPr>
      <w:pict w14:anchorId="54167B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670899" o:spid="_x0000_s2049" type="#_x0000_t136" alt="" style="position:absolute;margin-left:0;margin-top:0;width:589.9pt;height:49.15pt;rotation:315;z-index:-251655168;mso-wrap-edited:f;mso-width-percent:0;mso-height-percent:0;mso-position-horizontal:center;mso-position-horizontal-relative:margin;mso-position-vertical:center;mso-position-vertical-relative:margin;mso-width-percent:0;mso-height-percent:0" o:allowincell="f" fillcolor="red" stroked="f">
          <v:textpath style="font-family:&quot;Arial&quot;;font-size:1pt" string="KİMSEYLE PAYLAŞMAY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A39"/>
    <w:rsid w:val="001820AC"/>
    <w:rsid w:val="00242EEE"/>
    <w:rsid w:val="0029577D"/>
    <w:rsid w:val="003D2F54"/>
    <w:rsid w:val="003D4ACD"/>
    <w:rsid w:val="00432318"/>
    <w:rsid w:val="004A2EE6"/>
    <w:rsid w:val="005B5A39"/>
    <w:rsid w:val="0063739A"/>
    <w:rsid w:val="00991868"/>
    <w:rsid w:val="00A36236"/>
    <w:rsid w:val="00BD716A"/>
    <w:rsid w:val="00D3221F"/>
    <w:rsid w:val="00E847E2"/>
    <w:rsid w:val="00EE3D8B"/>
    <w:rsid w:val="00F00929"/>
    <w:rsid w:val="00F048F4"/>
    <w:rsid w:val="00F844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AAC21D"/>
  <w15:chartTrackingRefBased/>
  <w15:docId w15:val="{4E6315EA-007B-BC4C-8532-CCFB9B106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3231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9186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91868"/>
  </w:style>
  <w:style w:type="paragraph" w:styleId="AltBilgi">
    <w:name w:val="footer"/>
    <w:basedOn w:val="Normal"/>
    <w:link w:val="AltBilgiChar"/>
    <w:uiPriority w:val="99"/>
    <w:unhideWhenUsed/>
    <w:rsid w:val="0099186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91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531</Words>
  <Characters>3454</Characters>
  <Application>Microsoft Office Word</Application>
  <DocSecurity>0</DocSecurity>
  <Lines>60</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Microsoft Office Kullanıcısı</cp:lastModifiedBy>
  <cp:revision>6</cp:revision>
  <dcterms:created xsi:type="dcterms:W3CDTF">2020-02-29T09:02:00Z</dcterms:created>
  <dcterms:modified xsi:type="dcterms:W3CDTF">2020-03-01T07:03:00Z</dcterms:modified>
</cp:coreProperties>
</file>